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ESG</w:t>
      </w:r>
      <w:r>
        <w:rPr>
          <w:spacing w:val="79"/>
        </w:rPr>
        <w:t> </w:t>
      </w:r>
      <w:r>
        <w:rPr/>
        <w:t>Lead-Based</w:t>
      </w:r>
      <w:r>
        <w:rPr>
          <w:spacing w:val="80"/>
        </w:rPr>
        <w:t> </w:t>
      </w:r>
      <w:r>
        <w:rPr/>
        <w:t>Paint</w:t>
      </w:r>
      <w:r>
        <w:rPr>
          <w:spacing w:val="76"/>
        </w:rPr>
        <w:t> </w:t>
      </w:r>
      <w:r>
        <w:rPr/>
        <w:t>Document</w:t>
      </w:r>
      <w:r>
        <w:rPr>
          <w:spacing w:val="77"/>
        </w:rPr>
        <w:t> </w:t>
      </w:r>
      <w:r>
        <w:rPr/>
        <w:t>Checklist</w:t>
      </w:r>
    </w:p>
    <w:p>
      <w:pPr>
        <w:pStyle w:val="BodyText"/>
        <w:rPr>
          <w:sz w:val="5"/>
        </w:rPr>
      </w:pPr>
      <w:r>
        <w:rPr/>
        <w:pict>
          <v:rect style="position:absolute;margin-left:34.560001pt;margin-top:4.305749pt;width:542.88pt;height:.96pt;mso-position-horizontal-relative:page;mso-position-vertical-relative:paragraph;z-index:-15728640;mso-wrap-distance-left:0;mso-wrap-distance-right:0" id="docshape1" filled="true" fillcolor="#dddddd" stroked="false">
            <v:fill type="solid"/>
            <w10:wrap type="topAndBottom"/>
          </v:rect>
        </w:pict>
      </w:r>
    </w:p>
    <w:p>
      <w:pPr>
        <w:pStyle w:val="BodyText"/>
        <w:rPr>
          <w:sz w:val="25"/>
        </w:rPr>
      </w:pPr>
    </w:p>
    <w:p>
      <w:pPr>
        <w:pStyle w:val="BodyText"/>
        <w:spacing w:line="252" w:lineRule="auto" w:before="107"/>
        <w:ind w:left="240" w:right="206"/>
      </w:pPr>
      <w:r>
        <w:rPr/>
        <w:pict>
          <v:group style="position:absolute;margin-left:30.48pt;margin-top:87.385666pt;width:548.4pt;height:80.4pt;mso-position-horizontal-relative:page;mso-position-vertical-relative:paragraph;z-index:-15789568" id="docshapegroup2" coordorigin="610,1748" coordsize="10968,1608">
            <v:rect style="position:absolute;left:614;top:1766;width:437;height:288" id="docshape3" filled="true" fillcolor="#f6f6f6" stroked="false">
              <v:fill type="solid"/>
            </v:rect>
            <v:rect style="position:absolute;left:741;top:1826;width:173;height:173" id="docshape4" filled="false" stroked="true" strokeweight=".72pt" strokecolor="#000000">
              <v:stroke dashstyle="solid"/>
            </v:rect>
            <v:shape style="position:absolute;left:1051;top:1766;width:10527;height:288" id="docshape5" coordorigin="1051,1767" coordsize="10527,288" path="m11578,1767l7080,1767,1051,1767,1051,2055,7080,2055,11578,2055,11578,1767xe" filled="true" fillcolor="#f6f6f6" stroked="false">
              <v:path arrowok="t"/>
              <v:fill type="solid"/>
            </v:shape>
            <v:rect style="position:absolute;left:609;top:1747;width:10968;height:20" id="docshape6" filled="true" fillcolor="#dddddd" stroked="false">
              <v:fill type="solid"/>
            </v:rect>
            <v:rect style="position:absolute;left:741;top:2114;width:173;height:173" id="docshape7" filled="false" stroked="true" strokeweight=".72pt" strokecolor="#000000">
              <v:stroke dashstyle="solid"/>
            </v:rect>
            <v:rect style="position:absolute;left:614;top:2338;width:437;height:778" id="docshape8" filled="true" fillcolor="#f6f6f6" stroked="false">
              <v:fill type="solid"/>
            </v:rect>
            <v:rect style="position:absolute;left:741;top:2398;width:173;height:173" id="docshape9" filled="false" stroked="true" strokeweight=".72pt" strokecolor="#000000">
              <v:stroke dashstyle="solid"/>
            </v:rect>
            <v:shape style="position:absolute;left:1051;top:2338;width:10527;height:778" id="docshape10" coordorigin="1051,2338" coordsize="10527,778" path="m11578,2338l7080,2338,1051,2338,1051,3116,7080,3116,11578,3116,11578,2338xe" filled="true" fillcolor="#f6f6f6" stroked="false">
              <v:path arrowok="t"/>
              <v:fill type="solid"/>
            </v:shape>
            <v:rect style="position:absolute;left:741;top:3175;width:173;height:173" id="docshape11" filled="false" stroked="true" strokeweight=".72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56;top:2380;width:2616;height:242" type="#_x0000_t202" id="docshape1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Lead-Screening</w:t>
                    </w:r>
                    <w:r>
                      <w:rPr>
                        <w:spacing w:val="9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Worksheet</w:t>
                    </w:r>
                  </w:p>
                </w:txbxContent>
              </v:textbox>
              <w10:wrap type="none"/>
            </v:shape>
            <v:shape style="position:absolute;left:7185;top:2380;width:3426;height:736" type="#_x0000_t202" id="docshape13" filled="false" stroked="false">
              <v:textbox inset="0,0,0,0">
                <w:txbxContent>
                  <w:p>
                    <w:pPr>
                      <w:spacing w:line="254" w:lineRule="auto" w:before="2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Documents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exemptions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(additional</w:t>
                    </w:r>
                    <w:r>
                      <w:rPr>
                        <w:spacing w:val="-50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documentation will vary based on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exemptions)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The following checklist provides ESG grantees with an overview of common documents that can be used to</w:t>
      </w:r>
      <w:r>
        <w:rPr>
          <w:spacing w:val="1"/>
          <w:w w:val="105"/>
        </w:rPr>
        <w:t> </w:t>
      </w:r>
      <w:r>
        <w:rPr>
          <w:spacing w:val="1"/>
          <w:w w:val="103"/>
        </w:rPr>
        <w:t>v</w:t>
      </w:r>
      <w:r>
        <w:rPr>
          <w:spacing w:val="2"/>
          <w:w w:val="103"/>
        </w:rPr>
        <w:t>e</w:t>
      </w:r>
      <w:r>
        <w:rPr>
          <w:w w:val="103"/>
        </w:rPr>
        <w:t>rify</w:t>
      </w:r>
      <w:r>
        <w:rPr>
          <w:spacing w:val="4"/>
        </w:rPr>
        <w:t> </w:t>
      </w:r>
      <w:r>
        <w:rPr>
          <w:spacing w:val="2"/>
          <w:w w:val="103"/>
        </w:rPr>
        <w:t>co</w:t>
      </w:r>
      <w:r>
        <w:rPr>
          <w:spacing w:val="3"/>
          <w:w w:val="103"/>
        </w:rPr>
        <w:t>m</w:t>
      </w:r>
      <w:r>
        <w:rPr>
          <w:spacing w:val="2"/>
          <w:w w:val="103"/>
        </w:rPr>
        <w:t>p</w:t>
      </w:r>
      <w:r>
        <w:rPr>
          <w:w w:val="103"/>
        </w:rPr>
        <w:t>li</w:t>
      </w:r>
      <w:r>
        <w:rPr>
          <w:spacing w:val="2"/>
          <w:w w:val="103"/>
        </w:rPr>
        <w:t>a</w:t>
      </w:r>
      <w:r>
        <w:rPr>
          <w:spacing w:val="1"/>
          <w:w w:val="103"/>
        </w:rPr>
        <w:t>n</w:t>
      </w:r>
      <w:r>
        <w:rPr>
          <w:spacing w:val="2"/>
          <w:w w:val="103"/>
        </w:rPr>
        <w:t>c</w:t>
      </w:r>
      <w:r>
        <w:rPr>
          <w:w w:val="103"/>
        </w:rPr>
        <w:t>e</w:t>
      </w:r>
      <w:r>
        <w:rPr>
          <w:spacing w:val="4"/>
        </w:rPr>
        <w:t> </w:t>
      </w:r>
      <w:r>
        <w:rPr>
          <w:spacing w:val="2"/>
          <w:w w:val="103"/>
        </w:rPr>
        <w:t>w</w:t>
      </w:r>
      <w:r>
        <w:rPr>
          <w:w w:val="103"/>
        </w:rPr>
        <w:t>ith</w:t>
      </w:r>
      <w:r>
        <w:rPr>
          <w:spacing w:val="4"/>
        </w:rPr>
        <w:t> </w:t>
      </w:r>
      <w:r>
        <w:rPr>
          <w:w w:val="103"/>
        </w:rPr>
        <w:t>t</w:t>
      </w:r>
      <w:r>
        <w:rPr>
          <w:spacing w:val="1"/>
          <w:w w:val="103"/>
        </w:rPr>
        <w:t>h</w:t>
      </w:r>
      <w:r>
        <w:rPr>
          <w:w w:val="103"/>
        </w:rPr>
        <w:t>e</w:t>
      </w:r>
      <w:r>
        <w:rPr>
          <w:spacing w:val="4"/>
        </w:rPr>
        <w:t> </w:t>
      </w:r>
      <w:r>
        <w:rPr>
          <w:spacing w:val="1"/>
          <w:w w:val="103"/>
        </w:rPr>
        <w:t>L</w:t>
      </w:r>
      <w:r>
        <w:rPr>
          <w:spacing w:val="2"/>
          <w:w w:val="103"/>
        </w:rPr>
        <w:t>ea</w:t>
      </w:r>
      <w:r>
        <w:rPr>
          <w:spacing w:val="1"/>
          <w:w w:val="103"/>
        </w:rPr>
        <w:t>d</w:t>
      </w:r>
      <w:r>
        <w:rPr>
          <w:rFonts w:ascii="Cambria Math" w:hAnsi="Cambria Math"/>
          <w:w w:val="34"/>
        </w:rPr>
        <w:t>-­</w:t>
      </w:r>
      <w:r>
        <w:rPr>
          <w:rFonts w:ascii="Cambria Math" w:hAnsi="Cambria Math"/>
          <w:spacing w:val="1"/>
          <w:w w:val="34"/>
        </w:rPr>
        <w:t>‐</w:t>
      </w:r>
      <w:r>
        <w:rPr>
          <w:spacing w:val="1"/>
          <w:w w:val="103"/>
        </w:rPr>
        <w:t>B</w:t>
      </w:r>
      <w:r>
        <w:rPr>
          <w:spacing w:val="2"/>
          <w:w w:val="103"/>
        </w:rPr>
        <w:t>a</w:t>
      </w:r>
      <w:r>
        <w:rPr>
          <w:spacing w:val="1"/>
          <w:w w:val="103"/>
        </w:rPr>
        <w:t>s</w:t>
      </w:r>
      <w:r>
        <w:rPr>
          <w:spacing w:val="2"/>
          <w:w w:val="103"/>
        </w:rPr>
        <w:t>e</w:t>
      </w:r>
      <w:r>
        <w:rPr>
          <w:w w:val="103"/>
        </w:rPr>
        <w:t>d</w:t>
      </w:r>
      <w:r>
        <w:rPr>
          <w:spacing w:val="4"/>
        </w:rPr>
        <w:t> </w:t>
      </w:r>
      <w:r>
        <w:rPr>
          <w:spacing w:val="1"/>
          <w:w w:val="103"/>
        </w:rPr>
        <w:t>P</w:t>
      </w:r>
      <w:r>
        <w:rPr>
          <w:spacing w:val="2"/>
          <w:w w:val="103"/>
        </w:rPr>
        <w:t>a</w:t>
      </w:r>
      <w:r>
        <w:rPr>
          <w:w w:val="103"/>
        </w:rPr>
        <w:t>i</w:t>
      </w:r>
      <w:r>
        <w:rPr>
          <w:spacing w:val="1"/>
          <w:w w:val="103"/>
        </w:rPr>
        <w:t>n</w:t>
      </w:r>
      <w:r>
        <w:rPr>
          <w:w w:val="103"/>
        </w:rPr>
        <w:t>t</w:t>
      </w:r>
      <w:r>
        <w:rPr>
          <w:spacing w:val="3"/>
        </w:rPr>
        <w:t> </w:t>
      </w:r>
      <w:r>
        <w:rPr>
          <w:spacing w:val="1"/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i</w:t>
      </w:r>
      <w:r>
        <w:rPr>
          <w:spacing w:val="1"/>
          <w:w w:val="103"/>
        </w:rPr>
        <w:t>s</w:t>
      </w:r>
      <w:r>
        <w:rPr>
          <w:spacing w:val="2"/>
          <w:w w:val="103"/>
        </w:rPr>
        <w:t>o</w:t>
      </w:r>
      <w:r>
        <w:rPr>
          <w:spacing w:val="1"/>
          <w:w w:val="103"/>
        </w:rPr>
        <w:t>n</w:t>
      </w:r>
      <w:r>
        <w:rPr>
          <w:w w:val="103"/>
        </w:rPr>
        <w:t>i</w:t>
      </w:r>
      <w:r>
        <w:rPr>
          <w:spacing w:val="1"/>
          <w:w w:val="103"/>
        </w:rPr>
        <w:t>n</w:t>
      </w:r>
      <w:r>
        <w:rPr>
          <w:w w:val="103"/>
        </w:rPr>
        <w:t>g</w:t>
      </w:r>
      <w:r>
        <w:rPr>
          <w:spacing w:val="4"/>
        </w:rPr>
        <w:t> </w:t>
      </w:r>
      <w:r>
        <w:rPr>
          <w:spacing w:val="1"/>
          <w:w w:val="103"/>
        </w:rPr>
        <w:t>P</w:t>
      </w:r>
      <w:r>
        <w:rPr>
          <w:w w:val="103"/>
        </w:rPr>
        <w:t>r</w:t>
      </w:r>
      <w:r>
        <w:rPr>
          <w:spacing w:val="2"/>
          <w:w w:val="103"/>
        </w:rPr>
        <w:t>e</w:t>
      </w:r>
      <w:r>
        <w:rPr>
          <w:spacing w:val="1"/>
          <w:w w:val="103"/>
        </w:rPr>
        <w:t>v</w:t>
      </w:r>
      <w:r>
        <w:rPr>
          <w:spacing w:val="2"/>
          <w:w w:val="103"/>
        </w:rPr>
        <w:t>e</w:t>
      </w:r>
      <w:r>
        <w:rPr>
          <w:spacing w:val="1"/>
          <w:w w:val="103"/>
        </w:rPr>
        <w:t>nt</w:t>
      </w:r>
      <w:r>
        <w:rPr>
          <w:w w:val="103"/>
        </w:rPr>
        <w:t>i</w:t>
      </w:r>
      <w:r>
        <w:rPr>
          <w:spacing w:val="2"/>
          <w:w w:val="103"/>
        </w:rPr>
        <w:t>o</w:t>
      </w:r>
      <w:r>
        <w:rPr>
          <w:w w:val="103"/>
        </w:rPr>
        <w:t>n</w:t>
      </w:r>
      <w:r>
        <w:rPr>
          <w:spacing w:val="4"/>
        </w:rPr>
        <w:t> </w:t>
      </w:r>
      <w:r>
        <w:rPr>
          <w:spacing w:val="2"/>
          <w:w w:val="103"/>
        </w:rPr>
        <w:t>Ac</w:t>
      </w:r>
      <w:r>
        <w:rPr>
          <w:spacing w:val="1"/>
          <w:w w:val="103"/>
        </w:rPr>
        <w:t>t</w:t>
      </w:r>
      <w:r>
        <w:rPr>
          <w:w w:val="103"/>
        </w:rPr>
        <w:t>.</w:t>
      </w:r>
      <w:r>
        <w:rPr>
          <w:spacing w:val="3"/>
        </w:rPr>
        <w:t> </w:t>
      </w:r>
      <w:r>
        <w:rPr>
          <w:spacing w:val="2"/>
          <w:w w:val="103"/>
        </w:rPr>
        <w:t>No</w:t>
      </w:r>
      <w:r>
        <w:rPr>
          <w:spacing w:val="1"/>
          <w:w w:val="103"/>
        </w:rPr>
        <w:t>t</w:t>
      </w:r>
      <w:r>
        <w:rPr>
          <w:w w:val="103"/>
        </w:rPr>
        <w:t>e</w:t>
      </w:r>
      <w:r>
        <w:rPr>
          <w:spacing w:val="4"/>
        </w:rPr>
        <w:t> </w:t>
      </w:r>
      <w:r>
        <w:rPr>
          <w:spacing w:val="1"/>
          <w:w w:val="103"/>
        </w:rPr>
        <w:t>th</w:t>
      </w:r>
      <w:r>
        <w:rPr>
          <w:spacing w:val="2"/>
          <w:w w:val="103"/>
        </w:rPr>
        <w:t>a</w:t>
      </w:r>
      <w:r>
        <w:rPr>
          <w:w w:val="103"/>
        </w:rPr>
        <w:t>t</w:t>
      </w:r>
      <w:r>
        <w:rPr>
          <w:spacing w:val="3"/>
        </w:rPr>
        <w:t> </w:t>
      </w:r>
      <w:r>
        <w:rPr>
          <w:spacing w:val="1"/>
          <w:w w:val="103"/>
        </w:rPr>
        <w:t>th</w:t>
      </w:r>
      <w:r>
        <w:rPr>
          <w:w w:val="103"/>
        </w:rPr>
        <w:t>is</w:t>
      </w:r>
      <w:r>
        <w:rPr>
          <w:spacing w:val="4"/>
        </w:rPr>
        <w:t> </w:t>
      </w:r>
      <w:r>
        <w:rPr>
          <w:spacing w:val="2"/>
          <w:w w:val="103"/>
        </w:rPr>
        <w:t>c</w:t>
      </w:r>
      <w:r>
        <w:rPr>
          <w:spacing w:val="1"/>
          <w:w w:val="103"/>
        </w:rPr>
        <w:t>h</w:t>
      </w:r>
      <w:r>
        <w:rPr>
          <w:spacing w:val="2"/>
          <w:w w:val="103"/>
        </w:rPr>
        <w:t>ec</w:t>
      </w:r>
      <w:r>
        <w:rPr>
          <w:spacing w:val="1"/>
          <w:w w:val="103"/>
        </w:rPr>
        <w:t>k</w:t>
      </w:r>
      <w:r>
        <w:rPr>
          <w:w w:val="103"/>
        </w:rPr>
        <w:t>li</w:t>
      </w:r>
      <w:r>
        <w:rPr>
          <w:spacing w:val="1"/>
          <w:w w:val="103"/>
        </w:rPr>
        <w:t>s</w:t>
      </w:r>
      <w:r>
        <w:rPr>
          <w:w w:val="103"/>
        </w:rPr>
        <w:t>t</w:t>
      </w:r>
      <w:r>
        <w:rPr>
          <w:spacing w:val="3"/>
        </w:rPr>
        <w:t> </w:t>
      </w:r>
      <w:r>
        <w:rPr>
          <w:spacing w:val="2"/>
          <w:w w:val="103"/>
        </w:rPr>
        <w:t>doe</w:t>
      </w:r>
      <w:r>
        <w:rPr>
          <w:w w:val="103"/>
        </w:rPr>
        <w:t>s</w:t>
      </w:r>
      <w:r>
        <w:rPr>
          <w:spacing w:val="4"/>
        </w:rPr>
        <w:t> </w:t>
      </w:r>
      <w:r>
        <w:rPr>
          <w:spacing w:val="1"/>
          <w:w w:val="103"/>
        </w:rPr>
        <w:t>n</w:t>
      </w:r>
      <w:r>
        <w:rPr>
          <w:spacing w:val="2"/>
          <w:w w:val="103"/>
        </w:rPr>
        <w:t>o</w:t>
      </w:r>
      <w:r>
        <w:rPr>
          <w:w w:val="103"/>
        </w:rPr>
        <w:t>t</w:t>
      </w:r>
      <w:r>
        <w:rPr>
          <w:spacing w:val="3"/>
        </w:rPr>
        <w:t> </w:t>
      </w:r>
      <w:r>
        <w:rPr>
          <w:spacing w:val="2"/>
          <w:w w:val="103"/>
        </w:rPr>
        <w:t>co</w:t>
      </w:r>
      <w:r>
        <w:rPr>
          <w:spacing w:val="1"/>
          <w:w w:val="103"/>
        </w:rPr>
        <w:t>v</w:t>
      </w:r>
      <w:r>
        <w:rPr>
          <w:spacing w:val="2"/>
          <w:w w:val="103"/>
        </w:rPr>
        <w:t>e</w:t>
      </w:r>
      <w:r>
        <w:rPr>
          <w:w w:val="103"/>
        </w:rPr>
        <w:t>r </w:t>
      </w:r>
      <w:r>
        <w:rPr>
          <w:w w:val="105"/>
        </w:rPr>
        <w:t>all</w:t>
      </w:r>
      <w:r>
        <w:rPr>
          <w:spacing w:val="-1"/>
          <w:w w:val="105"/>
        </w:rPr>
        <w:t> </w:t>
      </w:r>
      <w:r>
        <w:rPr>
          <w:w w:val="105"/>
        </w:rPr>
        <w:t>of the</w:t>
      </w:r>
      <w:r>
        <w:rPr>
          <w:spacing w:val="1"/>
          <w:w w:val="105"/>
        </w:rPr>
        <w:t> </w:t>
      </w:r>
      <w:r>
        <w:rPr>
          <w:w w:val="105"/>
        </w:rPr>
        <w:t>documentation</w:t>
      </w:r>
      <w:r>
        <w:rPr>
          <w:spacing w:val="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providers would</w:t>
      </w:r>
      <w:r>
        <w:rPr>
          <w:spacing w:val="1"/>
          <w:w w:val="105"/>
        </w:rPr>
        <w:t> </w:t>
      </w:r>
      <w:r>
        <w:rPr>
          <w:w w:val="105"/>
        </w:rPr>
        <w:t>want to include</w:t>
      </w:r>
      <w:r>
        <w:rPr>
          <w:spacing w:val="1"/>
          <w:w w:val="105"/>
        </w:rPr>
        <w:t> </w:t>
      </w:r>
      <w:r>
        <w:rPr>
          <w:w w:val="105"/>
        </w:rPr>
        <w:t>in</w:t>
      </w:r>
      <w:r>
        <w:rPr>
          <w:spacing w:val="1"/>
          <w:w w:val="105"/>
        </w:rPr>
        <w:t> </w:t>
      </w:r>
      <w:r>
        <w:rPr>
          <w:w w:val="105"/>
        </w:rPr>
        <w:t>all instances.</w:t>
      </w:r>
      <w:r>
        <w:rPr>
          <w:spacing w:val="-1"/>
          <w:w w:val="105"/>
        </w:rPr>
        <w:t> </w:t>
      </w:r>
      <w:r>
        <w:rPr>
          <w:w w:val="105"/>
        </w:rPr>
        <w:t>For example, additional</w:t>
      </w:r>
      <w:r>
        <w:rPr>
          <w:spacing w:val="1"/>
          <w:w w:val="105"/>
        </w:rPr>
        <w:t> </w:t>
      </w:r>
      <w:r>
        <w:rPr>
          <w:w w:val="105"/>
        </w:rPr>
        <w:t>documentation may be required if the property is found to meet exemptions listed under Part 2 of the Lead</w:t>
      </w:r>
      <w:r>
        <w:rPr>
          <w:spacing w:val="1"/>
          <w:w w:val="105"/>
        </w:rPr>
        <w:t> </w:t>
      </w:r>
      <w:r>
        <w:rPr>
          <w:w w:val="105"/>
        </w:rPr>
        <w:t>Screening</w:t>
      </w:r>
      <w:r>
        <w:rPr>
          <w:spacing w:val="1"/>
          <w:w w:val="105"/>
        </w:rPr>
        <w:t> </w:t>
      </w:r>
      <w:r>
        <w:rPr>
          <w:w w:val="105"/>
        </w:rPr>
        <w:t>Worksheet.</w:t>
      </w:r>
    </w:p>
    <w:p>
      <w:pPr>
        <w:pStyle w:val="BodyText"/>
        <w:spacing w:before="5"/>
        <w:rPr>
          <w:sz w:val="7"/>
        </w:rPr>
      </w:pPr>
      <w:r>
        <w:rPr/>
        <w:pict>
          <v:rect style="position:absolute;margin-left:30.480001pt;margin-top:5.741329pt;width:548.400026pt;height:.96pt;mso-position-horizontal-relative:page;mso-position-vertical-relative:paragraph;z-index:-15728128;mso-wrap-distance-left:0;mso-wrap-distance-right:0" id="docshape14" filled="true" fillcolor="#dddddd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"/>
        </w:numPr>
        <w:tabs>
          <w:tab w:pos="676" w:val="left" w:leader="none"/>
          <w:tab w:pos="677" w:val="left" w:leader="none"/>
          <w:tab w:pos="6705" w:val="left" w:leader="none"/>
        </w:tabs>
        <w:spacing w:line="240" w:lineRule="auto" w:before="0" w:after="0"/>
        <w:ind w:left="676" w:right="0" w:hanging="437"/>
        <w:jc w:val="left"/>
        <w:rPr>
          <w:b/>
          <w:sz w:val="19"/>
        </w:rPr>
      </w:pPr>
      <w:r>
        <w:rPr>
          <w:b/>
          <w:w w:val="105"/>
          <w:sz w:val="19"/>
        </w:rPr>
        <w:t>Document</w:t>
      </w:r>
      <w:r>
        <w:rPr>
          <w:b/>
          <w:spacing w:val="-1"/>
          <w:w w:val="105"/>
          <w:sz w:val="19"/>
        </w:rPr>
        <w:t> </w:t>
      </w:r>
      <w:r>
        <w:rPr>
          <w:b/>
          <w:w w:val="105"/>
          <w:sz w:val="19"/>
        </w:rPr>
        <w:t>Name</w:t>
        <w:tab/>
        <w:t>Purpose</w:t>
      </w:r>
    </w:p>
    <w:p>
      <w:pPr>
        <w:pStyle w:val="BodyText"/>
        <w:spacing w:before="2"/>
        <w:rPr>
          <w:b/>
          <w:sz w:val="14"/>
        </w:rPr>
      </w:pPr>
    </w:p>
    <w:p>
      <w:pPr>
        <w:pStyle w:val="BodyText"/>
        <w:tabs>
          <w:tab w:pos="6705" w:val="left" w:leader="none"/>
        </w:tabs>
        <w:spacing w:before="108"/>
        <w:ind w:left="676"/>
      </w:pPr>
      <w:r>
        <w:rPr/>
        <w:pict>
          <v:shape style="position:absolute;margin-left:29.76pt;margin-top:-11.444361pt;width:549.15pt;height:14.4pt;mso-position-horizontal-relative:page;mso-position-vertical-relative:paragraph;z-index:15731712" type="#_x0000_t202" id="docshape15" filled="false" stroked="false">
            <v:textbox inset="0,0,0,0">
              <w:txbxContent>
                <w:p>
                  <w:pPr>
                    <w:pStyle w:val="BodyText"/>
                    <w:tabs>
                      <w:tab w:pos="6590" w:val="left" w:leader="none"/>
                    </w:tabs>
                    <w:spacing w:before="49"/>
                    <w:ind w:left="561"/>
                  </w:pPr>
                  <w:r>
                    <w:rPr>
                      <w:w w:val="105"/>
                    </w:rPr>
                    <w:t>Application</w:t>
                    <w:tab/>
                    <w:t>Documents</w:t>
                  </w:r>
                  <w:r>
                    <w:rPr>
                      <w:spacing w:val="-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age of</w:t>
                  </w:r>
                  <w:r>
                    <w:rPr>
                      <w:spacing w:val="-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children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Screenshot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property record from</w:t>
      </w:r>
      <w:r>
        <w:rPr>
          <w:spacing w:val="1"/>
          <w:w w:val="105"/>
        </w:rPr>
        <w:t> </w:t>
      </w:r>
      <w:r>
        <w:rPr>
          <w:w w:val="105"/>
        </w:rPr>
        <w:t>online tax database</w:t>
        <w:tab/>
        <w:t>Documents</w:t>
      </w:r>
      <w:r>
        <w:rPr>
          <w:spacing w:val="-1"/>
          <w:w w:val="105"/>
        </w:rPr>
        <w:t> </w:t>
      </w:r>
      <w:r>
        <w:rPr>
          <w:w w:val="105"/>
        </w:rPr>
        <w:t>age of property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6705" w:val="left" w:leader="none"/>
        </w:tabs>
        <w:spacing w:before="107"/>
        <w:ind w:left="676"/>
      </w:pPr>
      <w:r>
        <w:rPr>
          <w:w w:val="105"/>
        </w:rPr>
        <w:t>Lead-Based Paint</w:t>
      </w:r>
      <w:r>
        <w:rPr>
          <w:spacing w:val="-2"/>
          <w:w w:val="105"/>
        </w:rPr>
        <w:t> </w:t>
      </w:r>
      <w:r>
        <w:rPr>
          <w:w w:val="105"/>
        </w:rPr>
        <w:t>Visual</w:t>
      </w:r>
      <w:r>
        <w:rPr>
          <w:spacing w:val="-2"/>
          <w:w w:val="105"/>
        </w:rPr>
        <w:t> </w:t>
      </w:r>
      <w:r>
        <w:rPr>
          <w:w w:val="105"/>
        </w:rPr>
        <w:t>Assessment</w:t>
      </w:r>
      <w:r>
        <w:rPr>
          <w:spacing w:val="-1"/>
          <w:w w:val="105"/>
        </w:rPr>
        <w:t> </w:t>
      </w:r>
      <w:r>
        <w:rPr>
          <w:w w:val="105"/>
        </w:rPr>
        <w:t>Certification</w:t>
        <w:tab/>
        <w:t>Documents</w:t>
      </w:r>
      <w:r>
        <w:rPr>
          <w:spacing w:val="-1"/>
          <w:w w:val="105"/>
        </w:rPr>
        <w:t> </w:t>
      </w:r>
      <w:r>
        <w:rPr>
          <w:w w:val="105"/>
        </w:rPr>
        <w:t>that a</w:t>
      </w:r>
      <w:r>
        <w:rPr>
          <w:spacing w:val="1"/>
          <w:w w:val="105"/>
        </w:rPr>
        <w:t> </w:t>
      </w:r>
      <w:r>
        <w:rPr>
          <w:w w:val="105"/>
        </w:rPr>
        <w:t>visual assessment</w:t>
      </w:r>
      <w:r>
        <w:rPr>
          <w:spacing w:val="-1"/>
          <w:w w:val="105"/>
        </w:rPr>
        <w:t> </w:t>
      </w:r>
      <w:r>
        <w:rPr>
          <w:w w:val="105"/>
        </w:rPr>
        <w:t>was</w:t>
      </w:r>
    </w:p>
    <w:p>
      <w:pPr>
        <w:pStyle w:val="BodyText"/>
        <w:spacing w:line="252" w:lineRule="auto" w:before="12"/>
        <w:ind w:left="6705" w:right="963"/>
      </w:pPr>
      <w:r>
        <w:rPr/>
        <w:pict>
          <v:group style="position:absolute;margin-left:30.719999pt;margin-top:24.555672pt;width:548.2pt;height:155.050pt;mso-position-horizontal-relative:page;mso-position-vertical-relative:paragraph;z-index:-15789056" id="docshapegroup16" coordorigin="614,491" coordsize="10964,3101">
            <v:rect style="position:absolute;left:614;top:491;width:437;height:1023" id="docshape17" filled="true" fillcolor="#f6f6f6" stroked="false">
              <v:fill type="solid"/>
            </v:rect>
            <v:rect style="position:absolute;left:741;top:551;width:173;height:173" id="docshape18" filled="false" stroked="true" strokeweight=".72pt" strokecolor="#000000">
              <v:stroke dashstyle="solid"/>
            </v:rect>
            <v:shape style="position:absolute;left:1051;top:491;width:10527;height:1023" id="docshape19" coordorigin="1051,491" coordsize="10527,1023" path="m11578,491l7080,491,1051,491,1051,1514,7080,1514,11578,1514,11578,491xe" filled="true" fillcolor="#f6f6f6" stroked="false">
              <v:path arrowok="t"/>
              <v:fill type="solid"/>
            </v:shape>
            <v:rect style="position:absolute;left:741;top:1573;width:173;height:173" id="docshape20" filled="false" stroked="true" strokeweight=".72pt" strokecolor="#000000">
              <v:stroke dashstyle="solid"/>
            </v:rect>
            <v:rect style="position:absolute;left:614;top:1796;width:437;height:1556" id="docshape21" filled="true" fillcolor="#f6f6f6" stroked="false">
              <v:fill type="solid"/>
            </v:rect>
            <v:rect style="position:absolute;left:741;top:1856;width:173;height:173" id="docshape22" filled="false" stroked="true" strokeweight=".72pt" strokecolor="#000000">
              <v:stroke dashstyle="solid"/>
            </v:rect>
            <v:shape style="position:absolute;left:1051;top:1796;width:10527;height:1556" id="docshape23" coordorigin="1051,1797" coordsize="10527,1556" path="m11578,1797l7080,1797,1051,1797,1051,3352,7080,3352,11578,3352,11578,1797xe" filled="true" fillcolor="#f6f6f6" stroked="false">
              <v:path arrowok="t"/>
              <v:fill type="solid"/>
            </v:shape>
            <v:rect style="position:absolute;left:741;top:3411;width:173;height:173" id="docshape24" filled="false" stroked="true" strokeweight=".72pt" strokecolor="#000000">
              <v:stroke dashstyle="solid"/>
            </v:rect>
            <w10:wrap type="none"/>
          </v:group>
        </w:pict>
      </w:r>
      <w:r>
        <w:rPr>
          <w:w w:val="105"/>
        </w:rPr>
        <w:t>conducted and problems with paint</w:t>
      </w:r>
      <w:r>
        <w:rPr>
          <w:spacing w:val="-53"/>
          <w:w w:val="105"/>
        </w:rPr>
        <w:t> </w:t>
      </w:r>
      <w:r>
        <w:rPr>
          <w:w w:val="105"/>
        </w:rPr>
        <w:t>surfaces were</w:t>
      </w:r>
      <w:r>
        <w:rPr>
          <w:spacing w:val="1"/>
          <w:w w:val="105"/>
        </w:rPr>
        <w:t> </w:t>
      </w:r>
      <w:r>
        <w:rPr>
          <w:w w:val="105"/>
        </w:rPr>
        <w:t>not identified</w:t>
      </w:r>
    </w:p>
    <w:p>
      <w:pPr>
        <w:spacing w:after="0" w:line="252" w:lineRule="auto"/>
        <w:sectPr>
          <w:type w:val="continuous"/>
          <w:pgSz w:w="12240" w:h="15840"/>
          <w:pgMar w:top="640" w:bottom="280" w:left="480" w:right="560"/>
        </w:sectPr>
      </w:pPr>
    </w:p>
    <w:p>
      <w:pPr>
        <w:pStyle w:val="BodyText"/>
        <w:spacing w:line="256" w:lineRule="auto" w:before="39"/>
        <w:ind w:left="676" w:right="31"/>
      </w:pPr>
      <w:r>
        <w:rPr>
          <w:w w:val="105"/>
        </w:rPr>
        <w:t>Lead-Based Paint Property Owner Certification (if</w:t>
      </w:r>
      <w:r>
        <w:rPr>
          <w:spacing w:val="-53"/>
          <w:w w:val="105"/>
        </w:rPr>
        <w:t> </w:t>
      </w:r>
      <w:r>
        <w:rPr>
          <w:w w:val="105"/>
        </w:rPr>
        <w:t>applicable)</w:t>
      </w:r>
    </w:p>
    <w:p>
      <w:pPr>
        <w:pStyle w:val="BodyText"/>
        <w:spacing w:line="254" w:lineRule="auto" w:before="39"/>
        <w:ind w:left="676" w:right="208"/>
      </w:pPr>
      <w:r>
        <w:rPr/>
        <w:br w:type="column"/>
      </w:r>
      <w:r>
        <w:rPr>
          <w:w w:val="105"/>
        </w:rPr>
        <w:t>Documents owner certification</w:t>
      </w:r>
      <w:r>
        <w:rPr>
          <w:spacing w:val="1"/>
          <w:w w:val="105"/>
        </w:rPr>
        <w:t> </w:t>
      </w:r>
      <w:r>
        <w:rPr>
          <w:w w:val="105"/>
        </w:rPr>
        <w:t>that any</w:t>
      </w:r>
      <w:r>
        <w:rPr>
          <w:spacing w:val="1"/>
          <w:w w:val="105"/>
        </w:rPr>
        <w:t> </w:t>
      </w:r>
      <w:r>
        <w:rPr>
          <w:w w:val="105"/>
        </w:rPr>
        <w:t>identified problems with paint surfaces have</w:t>
      </w:r>
      <w:r>
        <w:rPr>
          <w:spacing w:val="-53"/>
          <w:w w:val="105"/>
        </w:rPr>
        <w:t> </w:t>
      </w:r>
      <w:r>
        <w:rPr>
          <w:w w:val="105"/>
        </w:rPr>
        <w:t>been repaired and that safe work practices</w:t>
      </w:r>
      <w:r>
        <w:rPr>
          <w:spacing w:val="-53"/>
          <w:w w:val="105"/>
        </w:rPr>
        <w:t> </w:t>
      </w:r>
      <w:r>
        <w:rPr>
          <w:w w:val="105"/>
        </w:rPr>
        <w:t>were</w:t>
      </w:r>
      <w:r>
        <w:rPr>
          <w:spacing w:val="1"/>
          <w:w w:val="105"/>
        </w:rPr>
        <w:t> </w:t>
      </w:r>
      <w:r>
        <w:rPr>
          <w:w w:val="105"/>
        </w:rPr>
        <w:t>followed, as applicable</w:t>
      </w:r>
    </w:p>
    <w:p>
      <w:pPr>
        <w:spacing w:after="0" w:line="254" w:lineRule="auto"/>
        <w:sectPr>
          <w:type w:val="continuous"/>
          <w:pgSz w:w="12240" w:h="15840"/>
          <w:pgMar w:top="640" w:bottom="280" w:left="480" w:right="560"/>
          <w:cols w:num="2" w:equalWidth="0">
            <w:col w:w="5466" w:space="563"/>
            <w:col w:w="5171"/>
          </w:cols>
        </w:sectPr>
      </w:pPr>
    </w:p>
    <w:p>
      <w:pPr>
        <w:pStyle w:val="BodyText"/>
        <w:tabs>
          <w:tab w:pos="6705" w:val="left" w:leader="none"/>
        </w:tabs>
        <w:spacing w:before="35"/>
        <w:ind w:left="676"/>
      </w:pPr>
      <w:r>
        <w:rPr>
          <w:w w:val="105"/>
        </w:rPr>
        <w:t>Clearance Report</w:t>
      </w:r>
      <w:r>
        <w:rPr>
          <w:spacing w:val="-1"/>
          <w:w w:val="105"/>
        </w:rPr>
        <w:t> </w:t>
      </w:r>
      <w:r>
        <w:rPr>
          <w:w w:val="105"/>
        </w:rPr>
        <w:t>(if</w:t>
      </w:r>
      <w:r>
        <w:rPr>
          <w:spacing w:val="-1"/>
          <w:w w:val="105"/>
        </w:rPr>
        <w:t> </w:t>
      </w:r>
      <w:r>
        <w:rPr>
          <w:w w:val="105"/>
        </w:rPr>
        <w:t>applicable)</w:t>
        <w:tab/>
        <w:t>Documents that</w:t>
      </w:r>
      <w:r>
        <w:rPr>
          <w:spacing w:val="-1"/>
          <w:w w:val="105"/>
        </w:rPr>
        <w:t> </w:t>
      </w:r>
      <w:r>
        <w:rPr>
          <w:w w:val="105"/>
        </w:rPr>
        <w:t>unit passed</w:t>
      </w:r>
      <w:r>
        <w:rPr>
          <w:spacing w:val="1"/>
          <w:w w:val="105"/>
        </w:rPr>
        <w:t> </w:t>
      </w:r>
      <w:r>
        <w:rPr>
          <w:w w:val="105"/>
        </w:rPr>
        <w:t>clearance</w:t>
      </w:r>
    </w:p>
    <w:p>
      <w:pPr>
        <w:spacing w:after="0"/>
        <w:sectPr>
          <w:type w:val="continuous"/>
          <w:pgSz w:w="12240" w:h="15840"/>
          <w:pgMar w:top="640" w:bottom="280" w:left="480" w:right="560"/>
        </w:sectPr>
      </w:pPr>
    </w:p>
    <w:p>
      <w:pPr>
        <w:pStyle w:val="BodyText"/>
        <w:spacing w:before="50"/>
        <w:ind w:left="676"/>
      </w:pPr>
      <w:r>
        <w:rPr>
          <w:w w:val="105"/>
        </w:rPr>
        <w:t>Documentation of</w:t>
      </w:r>
      <w:r>
        <w:rPr>
          <w:spacing w:val="-1"/>
          <w:w w:val="105"/>
        </w:rPr>
        <w:t> </w:t>
      </w:r>
      <w:r>
        <w:rPr>
          <w:w w:val="105"/>
        </w:rPr>
        <w:t>ongoing maintenance</w:t>
      </w:r>
      <w:r>
        <w:rPr>
          <w:spacing w:val="1"/>
          <w:w w:val="105"/>
        </w:rPr>
        <w:t> </w:t>
      </w:r>
      <w:r>
        <w:rPr>
          <w:w w:val="105"/>
        </w:rPr>
        <w:t>activities: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55" w:after="0"/>
        <w:ind w:left="1036" w:right="0" w:hanging="361"/>
        <w:jc w:val="left"/>
        <w:rPr>
          <w:sz w:val="19"/>
        </w:rPr>
      </w:pPr>
      <w:r>
        <w:rPr>
          <w:w w:val="105"/>
          <w:sz w:val="19"/>
        </w:rPr>
        <w:t>Visual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Assessment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Certification Forms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52" w:lineRule="auto" w:before="12" w:after="0"/>
        <w:ind w:left="1036" w:right="0" w:hanging="360"/>
        <w:jc w:val="left"/>
        <w:rPr>
          <w:sz w:val="19"/>
        </w:rPr>
      </w:pPr>
      <w:r>
        <w:rPr>
          <w:w w:val="105"/>
          <w:sz w:val="19"/>
        </w:rPr>
        <w:t>Clearance report from each maintenance job involving</w:t>
      </w:r>
      <w:r>
        <w:rPr>
          <w:spacing w:val="-53"/>
          <w:w w:val="105"/>
          <w:sz w:val="19"/>
        </w:rPr>
        <w:t> </w:t>
      </w:r>
      <w:r>
        <w:rPr>
          <w:w w:val="105"/>
          <w:sz w:val="19"/>
        </w:rPr>
        <w:t>painted surfaces above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the de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minimis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threshold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52" w:lineRule="auto" w:before="0" w:after="0"/>
        <w:ind w:left="1036" w:right="21" w:hanging="360"/>
        <w:jc w:val="left"/>
        <w:rPr>
          <w:sz w:val="19"/>
        </w:rPr>
      </w:pPr>
      <w:r>
        <w:rPr>
          <w:w w:val="105"/>
          <w:sz w:val="19"/>
        </w:rPr>
        <w:t>Notice of lead hazard reduction for each maintenance</w:t>
      </w:r>
      <w:r>
        <w:rPr>
          <w:spacing w:val="-53"/>
          <w:w w:val="105"/>
          <w:sz w:val="19"/>
        </w:rPr>
        <w:t> </w:t>
      </w:r>
      <w:r>
        <w:rPr>
          <w:w w:val="105"/>
          <w:sz w:val="19"/>
        </w:rPr>
        <w:t>job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involving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painted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surfaces</w:t>
      </w:r>
    </w:p>
    <w:p>
      <w:pPr>
        <w:pStyle w:val="BodyText"/>
        <w:spacing w:before="44"/>
        <w:ind w:left="676"/>
      </w:pPr>
      <w:r>
        <w:rPr>
          <w:w w:val="105"/>
        </w:rPr>
        <w:t>Documentation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response to EIBLL child: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50" w:after="0"/>
        <w:ind w:left="1036" w:right="0" w:hanging="361"/>
        <w:jc w:val="left"/>
        <w:rPr>
          <w:sz w:val="19"/>
        </w:rPr>
      </w:pPr>
      <w:r>
        <w:rPr>
          <w:w w:val="105"/>
          <w:sz w:val="19"/>
        </w:rPr>
        <w:t>Copies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risk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assessment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12" w:after="0"/>
        <w:ind w:left="1036" w:right="0" w:hanging="361"/>
        <w:jc w:val="left"/>
        <w:rPr>
          <w:sz w:val="19"/>
        </w:rPr>
      </w:pPr>
      <w:r>
        <w:rPr>
          <w:w w:val="105"/>
          <w:sz w:val="19"/>
        </w:rPr>
        <w:t>Abatement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or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clearance report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12" w:after="0"/>
        <w:ind w:left="1036" w:right="0" w:hanging="361"/>
        <w:jc w:val="left"/>
        <w:rPr>
          <w:sz w:val="19"/>
        </w:rPr>
      </w:pPr>
      <w:r>
        <w:rPr>
          <w:w w:val="105"/>
          <w:sz w:val="19"/>
        </w:rPr>
        <w:t>Relocation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documents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16" w:after="0"/>
        <w:ind w:left="1036" w:right="0" w:hanging="361"/>
        <w:jc w:val="left"/>
        <w:rPr>
          <w:sz w:val="19"/>
        </w:rPr>
      </w:pPr>
      <w:r>
        <w:rPr>
          <w:w w:val="105"/>
          <w:sz w:val="19"/>
        </w:rPr>
        <w:t>Correspondence with health department</w:t>
      </w:r>
    </w:p>
    <w:p>
      <w:pPr>
        <w:pStyle w:val="BodyText"/>
        <w:spacing w:line="252" w:lineRule="auto" w:before="50"/>
        <w:ind w:left="224" w:right="260"/>
      </w:pPr>
      <w:r>
        <w:rPr/>
        <w:br w:type="column"/>
      </w:r>
      <w:r>
        <w:rPr>
          <w:w w:val="105"/>
        </w:rPr>
        <w:t>Documents that a</w:t>
      </w:r>
      <w:r>
        <w:rPr>
          <w:spacing w:val="1"/>
          <w:w w:val="105"/>
        </w:rPr>
        <w:t> </w:t>
      </w:r>
      <w:r>
        <w:rPr>
          <w:w w:val="105"/>
        </w:rPr>
        <w:t>visual assessment is</w:t>
      </w:r>
      <w:r>
        <w:rPr>
          <w:spacing w:val="1"/>
          <w:w w:val="105"/>
        </w:rPr>
        <w:t> </w:t>
      </w:r>
      <w:r>
        <w:rPr>
          <w:w w:val="105"/>
        </w:rPr>
        <w:t>performed at</w:t>
      </w:r>
      <w:r>
        <w:rPr>
          <w:spacing w:val="-1"/>
          <w:w w:val="105"/>
        </w:rPr>
        <w:t> </w:t>
      </w:r>
      <w:r>
        <w:rPr>
          <w:w w:val="105"/>
        </w:rPr>
        <w:t>least annually during</w:t>
      </w:r>
      <w:r>
        <w:rPr>
          <w:spacing w:val="2"/>
          <w:w w:val="105"/>
        </w:rPr>
        <w:t> </w:t>
      </w:r>
      <w:r>
        <w:rPr>
          <w:w w:val="105"/>
        </w:rPr>
        <w:t>the</w:t>
      </w:r>
      <w:r>
        <w:rPr>
          <w:spacing w:val="1"/>
          <w:w w:val="105"/>
        </w:rPr>
        <w:t> </w:t>
      </w:r>
      <w:r>
        <w:rPr>
          <w:w w:val="105"/>
        </w:rPr>
        <w:t>assistance</w:t>
      </w:r>
      <w:r>
        <w:rPr>
          <w:spacing w:val="2"/>
          <w:w w:val="105"/>
        </w:rPr>
        <w:t> </w:t>
      </w:r>
      <w:r>
        <w:rPr>
          <w:w w:val="105"/>
        </w:rPr>
        <w:t>period</w:t>
      </w:r>
      <w:r>
        <w:rPr>
          <w:spacing w:val="3"/>
          <w:w w:val="105"/>
        </w:rPr>
        <w:t> </w:t>
      </w:r>
      <w:r>
        <w:rPr>
          <w:w w:val="105"/>
        </w:rPr>
        <w:t>and</w:t>
      </w:r>
      <w:r>
        <w:rPr>
          <w:spacing w:val="3"/>
          <w:w w:val="105"/>
        </w:rPr>
        <w:t> </w:t>
      </w:r>
      <w:r>
        <w:rPr>
          <w:w w:val="105"/>
        </w:rPr>
        <w:t>that</w:t>
      </w:r>
      <w:r>
        <w:rPr>
          <w:spacing w:val="2"/>
          <w:w w:val="105"/>
        </w:rPr>
        <w:t> </w:t>
      </w:r>
      <w:r>
        <w:rPr>
          <w:w w:val="105"/>
        </w:rPr>
        <w:t>any</w:t>
      </w:r>
      <w:r>
        <w:rPr>
          <w:spacing w:val="1"/>
          <w:w w:val="105"/>
        </w:rPr>
        <w:t> </w:t>
      </w:r>
      <w:r>
        <w:rPr>
          <w:w w:val="105"/>
        </w:rPr>
        <w:t>deteriorated paint was appropriately</w:t>
      </w:r>
      <w:r>
        <w:rPr>
          <w:spacing w:val="1"/>
          <w:w w:val="105"/>
        </w:rPr>
        <w:t> </w:t>
      </w:r>
      <w:r>
        <w:rPr>
          <w:w w:val="105"/>
        </w:rPr>
        <w:t>addressed (including clearance and notice</w:t>
      </w:r>
      <w:r>
        <w:rPr>
          <w:spacing w:val="-53"/>
          <w:w w:val="105"/>
        </w:rPr>
        <w:t> </w:t>
      </w:r>
      <w:r>
        <w:rPr>
          <w:w w:val="105"/>
        </w:rPr>
        <w:t>of lead</w:t>
      </w:r>
      <w:r>
        <w:rPr>
          <w:spacing w:val="2"/>
          <w:w w:val="105"/>
        </w:rPr>
        <w:t> </w:t>
      </w:r>
      <w:r>
        <w:rPr>
          <w:w w:val="105"/>
        </w:rPr>
        <w:t>hazard</w:t>
      </w:r>
      <w:r>
        <w:rPr>
          <w:spacing w:val="2"/>
          <w:w w:val="105"/>
        </w:rPr>
        <w:t> </w:t>
      </w:r>
      <w:r>
        <w:rPr>
          <w:w w:val="105"/>
        </w:rPr>
        <w:t>reduction)</w:t>
      </w:r>
    </w:p>
    <w:p>
      <w:pPr>
        <w:pStyle w:val="BodyText"/>
        <w:spacing w:line="252" w:lineRule="auto" w:before="87"/>
        <w:ind w:left="224" w:right="568"/>
      </w:pPr>
      <w:r>
        <w:rPr>
          <w:w w:val="105"/>
        </w:rPr>
        <w:t>Documents</w:t>
      </w:r>
      <w:r>
        <w:rPr>
          <w:spacing w:val="-1"/>
          <w:w w:val="105"/>
        </w:rPr>
        <w:t> </w:t>
      </w:r>
      <w:r>
        <w:rPr>
          <w:w w:val="105"/>
        </w:rPr>
        <w:t>that if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1"/>
          <w:w w:val="105"/>
        </w:rPr>
        <w:t> </w:t>
      </w:r>
      <w:r>
        <w:rPr>
          <w:w w:val="105"/>
        </w:rPr>
        <w:t>EIBLL</w:t>
      </w:r>
      <w:r>
        <w:rPr>
          <w:spacing w:val="1"/>
          <w:w w:val="105"/>
        </w:rPr>
        <w:t> </w:t>
      </w:r>
      <w:r>
        <w:rPr>
          <w:w w:val="105"/>
        </w:rPr>
        <w:t>child was</w:t>
      </w:r>
      <w:r>
        <w:rPr>
          <w:spacing w:val="1"/>
          <w:w w:val="105"/>
        </w:rPr>
        <w:t> </w:t>
      </w:r>
      <w:r>
        <w:rPr>
          <w:w w:val="105"/>
        </w:rPr>
        <w:t>identified in the unit, the situation was</w:t>
      </w:r>
      <w:r>
        <w:rPr>
          <w:spacing w:val="1"/>
          <w:w w:val="105"/>
        </w:rPr>
        <w:t> </w:t>
      </w:r>
      <w:r>
        <w:rPr>
          <w:w w:val="105"/>
        </w:rPr>
        <w:t>addressed in accordance with the Lead</w:t>
      </w:r>
      <w:r>
        <w:rPr>
          <w:spacing w:val="-53"/>
          <w:w w:val="105"/>
        </w:rPr>
        <w:t> </w:t>
      </w:r>
      <w:r>
        <w:rPr>
          <w:w w:val="105"/>
        </w:rPr>
        <w:t>Safe</w:t>
      </w:r>
      <w:r>
        <w:rPr>
          <w:spacing w:val="1"/>
          <w:w w:val="105"/>
        </w:rPr>
        <w:t> </w:t>
      </w:r>
      <w:r>
        <w:rPr>
          <w:w w:val="105"/>
        </w:rPr>
        <w:t>Housing</w:t>
      </w:r>
      <w:r>
        <w:rPr>
          <w:spacing w:val="1"/>
          <w:w w:val="105"/>
        </w:rPr>
        <w:t> </w:t>
      </w:r>
      <w:r>
        <w:rPr>
          <w:w w:val="105"/>
        </w:rPr>
        <w:t>Rule</w:t>
      </w:r>
    </w:p>
    <w:p>
      <w:pPr>
        <w:spacing w:after="0" w:line="252" w:lineRule="auto"/>
        <w:sectPr>
          <w:type w:val="continuous"/>
          <w:pgSz w:w="12240" w:h="15840"/>
          <w:pgMar w:top="640" w:bottom="280" w:left="480" w:right="560"/>
          <w:cols w:num="2" w:equalWidth="0">
            <w:col w:w="6442" w:space="40"/>
            <w:col w:w="4718"/>
          </w:cols>
        </w:sectPr>
      </w:pP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549.15pt;height:1pt;mso-position-horizontal-relative:char;mso-position-vertical-relative:line" id="docshapegroup25" coordorigin="0,0" coordsize="10983,20">
            <v:shape style="position:absolute;left:0;top:0;width:10983;height:20" id="docshape26" coordorigin="0,0" coordsize="10983,20" path="m6490,0l6485,0,6470,0,461,0,456,0,442,0,0,0,0,19,442,19,456,19,461,19,6470,19,6485,19,6490,19,6490,0xm10982,0l6490,0,6490,19,10982,19,10982,0xe" filled="true" fillcolor="#dddddd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  <w:r>
        <w:rPr/>
        <w:pict>
          <v:rect style="position:absolute;margin-left:34.560001pt;margin-top:18.505116pt;width:542.88pt;height:.48pt;mso-position-horizontal-relative:page;mso-position-vertical-relative:paragraph;z-index:-15727104;mso-wrap-distance-left:0;mso-wrap-distance-right:0" id="docshape27" filled="true" fillcolor="#000000" stroked="false">
            <v:fill type="solid"/>
            <w10:wrap type="topAndBottom"/>
          </v:rect>
        </w:pict>
      </w:r>
    </w:p>
    <w:p>
      <w:pPr>
        <w:spacing w:before="30"/>
        <w:ind w:left="0" w:right="159" w:firstLine="0"/>
        <w:jc w:val="right"/>
        <w:rPr>
          <w:sz w:val="17"/>
        </w:rPr>
      </w:pPr>
      <w:r>
        <w:rPr>
          <w:w w:val="105"/>
          <w:sz w:val="17"/>
        </w:rPr>
        <w:t>Page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of 1</w:t>
      </w:r>
    </w:p>
    <w:sectPr>
      <w:type w:val="continuous"/>
      <w:pgSz w:w="12240" w:h="15840"/>
      <w:pgMar w:top="640" w:bottom="280" w:left="48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Yu Gothic">
    <w:altName w:val="Yu Gothic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✓"/>
      <w:lvlJc w:val="left"/>
      <w:pPr>
        <w:ind w:left="676" w:hanging="437"/>
      </w:pPr>
      <w:rPr>
        <w:rFonts w:hint="default" w:ascii="Yu Gothic" w:hAnsi="Yu Gothic" w:eastAsia="Yu Gothic" w:cs="Yu Gothic"/>
        <w:b/>
        <w:bCs/>
        <w:i w:val="0"/>
        <w:iCs w:val="0"/>
        <w:w w:val="79"/>
        <w:position w:val="3"/>
        <w:sz w:val="19"/>
        <w:szCs w:val="19"/>
      </w:rPr>
    </w:lvl>
    <w:lvl w:ilvl="1">
      <w:start w:val="0"/>
      <w:numFmt w:val="bullet"/>
      <w:lvlText w:val=""/>
      <w:lvlJc w:val="left"/>
      <w:pPr>
        <w:ind w:left="1036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3"/>
        <w:sz w:val="19"/>
        <w:szCs w:val="19"/>
      </w:rPr>
    </w:lvl>
    <w:lvl w:ilvl="2">
      <w:start w:val="0"/>
      <w:numFmt w:val="bullet"/>
      <w:lvlText w:val="•"/>
      <w:lvlJc w:val="left"/>
      <w:pPr>
        <w:ind w:left="16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4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4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</w:rPr>
  </w:style>
  <w:style w:styleId="Title" w:type="paragraph">
    <w:name w:val="Title"/>
    <w:basedOn w:val="Normal"/>
    <w:uiPriority w:val="1"/>
    <w:qFormat/>
    <w:pPr>
      <w:spacing w:before="91"/>
      <w:ind w:left="240"/>
    </w:pPr>
    <w:rPr>
      <w:rFonts w:ascii="Century Gothic" w:hAnsi="Century Gothic" w:eastAsia="Century Gothic" w:cs="Century Gothic"/>
      <w:sz w:val="31"/>
      <w:szCs w:val="31"/>
    </w:rPr>
  </w:style>
  <w:style w:styleId="ListParagraph" w:type="paragraph">
    <w:name w:val="List Paragraph"/>
    <w:basedOn w:val="Normal"/>
    <w:uiPriority w:val="1"/>
    <w:qFormat/>
    <w:pPr>
      <w:ind w:left="1036" w:hanging="361"/>
    </w:pPr>
    <w:rPr>
      <w:rFonts w:ascii="Century Gothic" w:hAnsi="Century Gothic" w:eastAsia="Century Gothic" w:cs="Century Gothic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566BC0-FB72-4076-A521-3532E2AA8230}"/>
</file>

<file path=customXml/itemProps2.xml><?xml version="1.0" encoding="utf-8"?>
<ds:datastoreItem xmlns:ds="http://schemas.openxmlformats.org/officeDocument/2006/customXml" ds:itemID="{8F7996A2-193D-4FB8-A8C4-0C3AEEEDC440}"/>
</file>

<file path=customXml/itemProps3.xml><?xml version="1.0" encoding="utf-8"?>
<ds:datastoreItem xmlns:ds="http://schemas.openxmlformats.org/officeDocument/2006/customXml" ds:itemID="{7F8D2CF7-7D37-40D6-80EB-2AEF1669D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2021-06-25T16:33:06Z</dcterms:created>
  <dcterms:modified xsi:type="dcterms:W3CDTF">2021-06-25T16:33:06Z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